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Integration Scope of Work for a Law Firm</w:t>
      </w:r>
    </w:p>
    <w:p>
      <w:r>
        <w:t>Template. Replace every bracketed line. Keep the section order: a vendor can only price what is written here, and the order is the order a build should run in. Prepared by Oktopeak (oktopeak.com), free to use.</w:t>
      </w:r>
    </w:p>
    <w:p>
      <w:pPr>
        <w:pStyle w:val="Heading1"/>
      </w:pPr>
      <w:r>
        <w:t>1. Project objective</w:t>
      </w:r>
    </w:p>
    <w:p>
      <w:r>
        <w:t>What the firm wants to stop doing by hand, which systems are involved, and the three constraints that never move: individual permissions, firm control of infrastructure, attorney review of outputs.</w:t>
      </w:r>
    </w:p>
    <w:p>
      <w:pPr>
        <w:pStyle w:val="ListBullet"/>
      </w:pPr>
      <w:r>
        <w:t>Systems to connect: [practice management, document management, research, email and documents, e-signature]</w:t>
      </w:r>
    </w:p>
    <w:p>
      <w:pPr>
        <w:pStyle w:val="ListBullet"/>
      </w:pPr>
      <w:r>
        <w:t>Outcomes in the firm's words: [less manual gathering, matter visibility, sourced research, document processing]</w:t>
      </w:r>
    </w:p>
    <w:p>
      <w:pPr>
        <w:pStyle w:val="ListBullet"/>
      </w:pPr>
      <w:r>
        <w:t>The vendor must validate platform support, API access and licensing before committing to any capability.</w:t>
      </w:r>
    </w:p>
    <w:p>
      <w:pPr>
        <w:pStyle w:val="Heading1"/>
      </w:pPr>
      <w:r>
        <w:t>2. Environment and initial users</w:t>
      </w:r>
    </w:p>
    <w:p>
      <w:r>
        <w:t>Who starts, on what plan, and who owns the infrastructure.</w:t>
      </w:r>
    </w:p>
    <w:p>
      <w:pPr>
        <w:pStyle w:val="ListBullet"/>
      </w:pPr>
      <w:r>
        <w:t>Pilot users: [names, roles]; rollout path: [when, to whom]</w:t>
      </w:r>
    </w:p>
    <w:p>
      <w:pPr>
        <w:pStyle w:val="ListBullet"/>
      </w:pPr>
      <w:r>
        <w:t>Assistant plan and admin configuration: [Team, Enterprise; who is the organization owner]</w:t>
      </w:r>
    </w:p>
    <w:p>
      <w:pPr>
        <w:pStyle w:val="ListBullet"/>
      </w:pPr>
      <w:r>
        <w:t>Connectors already enabled: [list]</w:t>
      </w:r>
    </w:p>
    <w:p>
      <w:pPr>
        <w:pStyle w:val="ListBullet"/>
      </w:pPr>
      <w:r>
        <w:t>Custom services deploy in: [firm-controlled Azure, AWS, other]; [IT administrator] retains credentials, infrastructure and deployment approval.</w:t>
      </w:r>
    </w:p>
    <w:p>
      <w:pPr>
        <w:pStyle w:val="Heading1"/>
      </w:pPr>
      <w:r>
        <w:t>3. Shared security foundation</w:t>
      </w:r>
    </w:p>
    <w:p>
      <w:r>
        <w:t>Built once, reused by every connector.</w:t>
      </w:r>
    </w:p>
    <w:p>
      <w:pPr>
        <w:pStyle w:val="ListBullet"/>
      </w:pPr>
      <w:r>
        <w:t>Each user authenticates individually; the service honours the permissions the user already holds in each connected system; no shared identities for firm data.</w:t>
      </w:r>
    </w:p>
    <w:p>
      <w:pPr>
        <w:pStyle w:val="ListBullet"/>
      </w:pPr>
      <w:r>
        <w:t>Audit records attribute every action to the initiating user and are exportable.</w:t>
      </w:r>
    </w:p>
    <w:p>
      <w:pPr>
        <w:pStyle w:val="ListBullet"/>
      </w:pPr>
      <w:r>
        <w:t>Documented credential handling, permission scopes, access controls and administrative procedures.</w:t>
      </w:r>
    </w:p>
    <w:p>
      <w:pPr>
        <w:pStyle w:val="ListBullet"/>
      </w:pPr>
      <w:r>
        <w:t>Human review before consequential actions (sending, saving, writing to the system of record).</w:t>
      </w:r>
    </w:p>
    <w:p>
      <w:pPr>
        <w:pStyle w:val="ListBullet"/>
      </w:pPr>
      <w:r>
        <w:t>The vendor describes controls the firm can assess against its obligations and does not represent the implementation as a guarantee of compliance.</w:t>
      </w:r>
    </w:p>
    <w:p>
      <w:pPr>
        <w:pStyle w:val="Heading1"/>
      </w:pPr>
      <w:r>
        <w:t>4. Implementation sequence</w:t>
      </w:r>
    </w:p>
    <w:p>
      <w:r>
        <w:t>Foundation first; then the system the firm already has working; then the systems that need credentials; then anything that depends on an unconfirmed entitlement.</w:t>
      </w:r>
    </w:p>
    <w:p>
      <w:pPr>
        <w:pStyle w:val="ListBullet"/>
      </w:pPr>
      <w:r>
        <w:t>Phase order: [foundation] &gt; [email and documents] &gt; [practice management] &gt; [research] &gt; [document processing] &gt; [e-signature]</w:t>
      </w:r>
    </w:p>
    <w:p>
      <w:pPr>
        <w:pStyle w:val="ListBullet"/>
      </w:pPr>
      <w:r>
        <w:t>Each phase has dependencies, a go-live criterion and an exit for the firm.</w:t>
      </w:r>
    </w:p>
    <w:p>
      <w:pPr>
        <w:pStyle w:val="Heading1"/>
      </w:pPr>
      <w:r>
        <w:t>5. Email, calendar and documents (Microsoft 365 or Google Workspace)</w:t>
      </w:r>
    </w:p>
    <w:p>
      <w:r>
        <w:t>Native connector where one exists; firm-specific skills on top.</w:t>
      </w:r>
    </w:p>
    <w:p>
      <w:pPr>
        <w:pStyle w:val="ListBullet"/>
      </w:pPr>
      <w:r>
        <w:t>Read scope: [mail, calendar, chat, files, transcripts]</w:t>
      </w:r>
    </w:p>
    <w:p>
      <w:pPr>
        <w:pStyle w:val="ListBullet"/>
      </w:pPr>
      <w:r>
        <w:t>Triage rules: [what counts as outstanding, urgent, a deadline]</w:t>
      </w:r>
    </w:p>
    <w:p>
      <w:pPr>
        <w:pStyle w:val="ListBullet"/>
      </w:pPr>
      <w:r>
        <w:t>Draft replies for review; sending and forwarding only within agreed controls.</w:t>
      </w:r>
    </w:p>
    <w:p>
      <w:pPr>
        <w:pStyle w:val="ListBullet"/>
      </w:pPr>
      <w:r>
        <w:t>Retrieval of prior firm documents; saves only to authorised locations.</w:t>
      </w:r>
    </w:p>
    <w:p>
      <w:pPr>
        <w:pStyle w:val="ListBullet"/>
      </w:pPr>
      <w:r>
        <w:t>Scheduled summary: [what, when, delivered where]; state where unattended jobs run and under which data terms.</w:t>
      </w:r>
    </w:p>
    <w:p>
      <w:pPr>
        <w:pStyle w:val="Heading1"/>
      </w:pPr>
      <w:r>
        <w:t>6. Practice management system</w:t>
      </w:r>
    </w:p>
    <w:p>
      <w:r>
        <w:t>Custom connector where the vendor's own connector cannot write or cannot run in the firm's cloud.</w:t>
      </w:r>
    </w:p>
    <w:p>
      <w:pPr>
        <w:pStyle w:val="ListBullet"/>
      </w:pPr>
      <w:r>
        <w:t>Reads: [matters, contacts, documents, calendar, time, billing, trust] subject to API availability and user permissions</w:t>
      </w:r>
    </w:p>
    <w:p>
      <w:pPr>
        <w:pStyle w:val="ListBullet"/>
      </w:pPr>
      <w:r>
        <w:t>Writes allowed in phase one: [tasks, notes]; explicitly excluded: [case creation, edits to case records]</w:t>
      </w:r>
    </w:p>
    <w:p>
      <w:pPr>
        <w:pStyle w:val="ListBullet"/>
      </w:pPr>
      <w:r>
        <w:t>Reporting workflow: [weekly report, contents, layout, schedule]</w:t>
      </w:r>
    </w:p>
    <w:p>
      <w:pPr>
        <w:pStyle w:val="ListBullet"/>
      </w:pPr>
      <w:r>
        <w:t>Dependencies: API credentials from the vendor, endpoint and permission model confirmed, cloud readiness</w:t>
      </w:r>
    </w:p>
    <w:p>
      <w:pPr>
        <w:pStyle w:val="Heading1"/>
      </w:pPr>
      <w:r>
        <w:t>7. Legal research</w:t>
      </w:r>
    </w:p>
    <w:p>
      <w:r>
        <w:t>Validate entitlements before promising capability.</w:t>
      </w:r>
    </w:p>
    <w:p>
      <w:pPr>
        <w:pStyle w:val="ListBullet"/>
      </w:pPr>
      <w:r>
        <w:t>Which product the firm holds: [Lexis+, Lexis+ with Protégé, Westlaw, other]</w:t>
      </w:r>
    </w:p>
    <w:p>
      <w:pPr>
        <w:pStyle w:val="ListBullet"/>
      </w:pPr>
      <w:r>
        <w:t>Does the agreement include any API entitlement? At what price for this seat count and volume? Does it return citator treatment signals?</w:t>
      </w:r>
    </w:p>
    <w:p>
      <w:pPr>
        <w:pStyle w:val="ListBullet"/>
      </w:pPr>
      <w:r>
        <w:t>Workflows wanted: [research grounded in the service with authorities and links, citation checking of drafts]</w:t>
      </w:r>
    </w:p>
    <w:p>
      <w:pPr>
        <w:pStyle w:val="ListBullet"/>
      </w:pPr>
      <w:r>
        <w:t>Fallback if no entitlement: [research inside the vendor product, citation extraction in the assistant, attorney closes the loop]</w:t>
      </w:r>
    </w:p>
    <w:p>
      <w:pPr>
        <w:pStyle w:val="Heading1"/>
      </w:pPr>
      <w:r>
        <w:t>8. Document processing</w:t>
      </w:r>
    </w:p>
    <w:p>
      <w:r>
        <w:t>OCR, extraction and assembly, validated on the firm's own documents.</w:t>
      </w:r>
    </w:p>
    <w:p>
      <w:pPr>
        <w:pStyle w:val="ListBullet"/>
      </w:pPr>
      <w:r>
        <w:t>OCR of scanned PDFs; structured extraction with a document-processing service, accuracy validated on representative documents</w:t>
      </w:r>
    </w:p>
    <w:p>
      <w:pPr>
        <w:pStyle w:val="ListBullet"/>
      </w:pPr>
      <w:r>
        <w:t>PDF operations: [create, combine, split, reorder, compress, protect]</w:t>
      </w:r>
    </w:p>
    <w:p>
      <w:pPr>
        <w:pStyle w:val="ListBullet"/>
      </w:pPr>
      <w:r>
        <w:t>Templates populated from structured data: [engagement letters, NDAs, standard contracts]</w:t>
      </w:r>
    </w:p>
    <w:p>
      <w:pPr>
        <w:pStyle w:val="Heading1"/>
      </w:pPr>
      <w:r>
        <w:t>9. E-signature</w:t>
      </w:r>
    </w:p>
    <w:p>
      <w:r>
        <w:t>Confirm API entitlement first; sandbox before production.</w:t>
      </w:r>
    </w:p>
    <w:p>
      <w:pPr>
        <w:pStyle w:val="ListBullet"/>
      </w:pPr>
      <w:r>
        <w:t>Send for signature, track status, retrieve executed copies with the audit trail</w:t>
      </w:r>
    </w:p>
    <w:p>
      <w:pPr>
        <w:pStyle w:val="ListBullet"/>
      </w:pPr>
      <w:r>
        <w:t>Entitlement confirmed with: [provider account team]; go-live dependent on confirmed access</w:t>
      </w:r>
    </w:p>
    <w:p>
      <w:pPr>
        <w:pStyle w:val="Heading1"/>
      </w:pPr>
      <w:r>
        <w:t>10. Deliverables</w:t>
      </w:r>
    </w:p>
    <w:p>
      <w:r>
        <w:t>What the firm holds at the end.</w:t>
      </w:r>
    </w:p>
    <w:p>
      <w:pPr>
        <w:pStyle w:val="ListBullet"/>
      </w:pPr>
      <w:r>
        <w:t>Discovery findings and confirmed scope with limitations and unresolved decisions</w:t>
      </w:r>
    </w:p>
    <w:p>
      <w:pPr>
        <w:pStyle w:val="ListBullet"/>
      </w:pPr>
      <w:r>
        <w:t>Documented architecture and permission model</w:t>
      </w:r>
    </w:p>
    <w:p>
      <w:pPr>
        <w:pStyle w:val="ListBullet"/>
      </w:pPr>
      <w:r>
        <w:t>Configured workflows, deployed connectors, reusable reporting and document workflows</w:t>
      </w:r>
    </w:p>
    <w:p>
      <w:pPr>
        <w:pStyle w:val="ListBullet"/>
      </w:pPr>
      <w:r>
        <w:t>Deployment and configuration documentation, source code for custom components, administrator maintenance guide, handoff to the firm's IT administrator</w:t>
      </w:r>
    </w:p>
    <w:p>
      <w:pPr>
        <w:pStyle w:val="ListBullet"/>
      </w:pPr>
      <w:r>
        <w:t>Hands-on training for pilot users and administrator, recorded, with acceptance criteria</w:t>
      </w:r>
    </w:p>
    <w:p>
      <w:pPr>
        <w:pStyle w:val="Heading1"/>
      </w:pPr>
      <w:r>
        <w:t>11. Validation and acceptance</w:t>
      </w:r>
    </w:p>
    <w:p>
      <w:r>
        <w:t>Agreed before implementation, demonstrated on representative firm data with pilot accounts.</w:t>
      </w:r>
    </w:p>
    <w:p>
      <w:pPr>
        <w:pStyle w:val="ListBullet"/>
      </w:pPr>
      <w:r>
        <w:t>Permissions respected; unauthorised data inaccessible; actions attributable to the user</w:t>
      </w:r>
    </w:p>
    <w:p>
      <w:pPr>
        <w:pStyle w:val="ListBullet"/>
      </w:pPr>
      <w:r>
        <w:t>Each workflow operates as specified; permitted writes work without expanding write access</w:t>
      </w:r>
    </w:p>
    <w:p>
      <w:pPr>
        <w:pStyle w:val="ListBullet"/>
      </w:pPr>
      <w:r>
        <w:t>Documentation, training and administrator handoff complete before production acceptance</w:t>
      </w:r>
    </w:p>
    <w:p>
      <w:pPr>
        <w:pStyle w:val="Heading1"/>
      </w:pPr>
      <w:r>
        <w:t>12. Maintenance and operational responsibilities</w:t>
      </w:r>
    </w:p>
    <w:p>
      <w:r>
        <w:t>Who does what after go-live.</w:t>
      </w:r>
    </w:p>
    <w:p>
      <w:pPr>
        <w:pStyle w:val="ListBullet"/>
      </w:pPr>
      <w:r>
        <w:t>Coverage for API and authentication changes, dependency updates, security patches and defects</w:t>
      </w:r>
    </w:p>
    <w:p>
      <w:pPr>
        <w:pStyle w:val="ListBullet"/>
      </w:pPr>
      <w:r>
        <w:t>Response and resolution expectations by priority; escalation procedure</w:t>
      </w:r>
    </w:p>
    <w:p>
      <w:pPr>
        <w:pStyle w:val="ListBullet"/>
      </w:pPr>
      <w:r>
        <w:t>Boundary between the firm's infrastructure responsibilities and the vendor's connector responsibilities</w:t>
      </w:r>
    </w:p>
    <w:p>
      <w:pPr>
        <w:pStyle w:val="ListBullet"/>
      </w:pPr>
      <w:r>
        <w:t>Maintenance distinguished from new functionality</w:t>
      </w:r>
    </w:p>
    <w:p>
      <w:pPr>
        <w:pStyle w:val="Heading1"/>
      </w:pPr>
      <w:r>
        <w:t>13. Requested proposal response</w:t>
      </w:r>
    </w:p>
    <w:p>
      <w:r>
        <w:t>What a comparable proposal must contain.</w:t>
      </w:r>
    </w:p>
    <w:p>
      <w:pPr>
        <w:pStyle w:val="ListBullet"/>
      </w:pPr>
      <w:r>
        <w:t>Architecture; native versus custom connector choices; API feasibility; assumptions; exclusions; licensing prerequisites; alternatives for unsupported capabilities</w:t>
      </w:r>
    </w:p>
    <w:p>
      <w:pPr>
        <w:pStyle w:val="ListBullet"/>
      </w:pPr>
      <w:r>
        <w:t>Milestones, schedule, external dependencies, staffing, firm participation, measurable acceptance criteria</w:t>
      </w:r>
    </w:p>
    <w:p>
      <w:pPr>
        <w:pStyle w:val="ListBullet"/>
      </w:pPr>
      <w:r>
        <w:t>Commercial proposal by workstream, including ongoing support and third-party requirements; milestone acceptance tied to payment</w:t>
      </w:r>
    </w:p>
    <w:p>
      <w:pPr>
        <w:pStyle w:val="ListBullet"/>
      </w:pPr>
      <w:r>
        <w:t>Legal-industry experience, examples or references, source-code ownership and handoff terms, support model</w:t>
      </w:r>
    </w:p>
    <w:p>
      <w:pPr>
        <w:pStyle w:val="Heading1"/>
      </w:pPr>
      <w:r>
        <w:t>What this template leaves to you</w:t>
      </w:r>
    </w:p>
    <w:p>
      <w:r>
        <w:t>Three things scopes like this usually miss.</w:t>
      </w:r>
    </w:p>
    <w:p>
      <w:pPr>
        <w:pStyle w:val="ListBullet"/>
      </w:pPr>
      <w:r>
        <w:t>Price the research entitlement before you price the research workflow.</w:t>
      </w:r>
    </w:p>
    <w:p>
      <w:pPr>
        <w:pStyle w:val="ListBullet"/>
      </w:pPr>
      <w:r>
        <w:t>Say where unattended jobs run and under which retention terms.</w:t>
      </w:r>
    </w:p>
    <w:p>
      <w:pPr>
        <w:pStyle w:val="ListBullet"/>
      </w:pPr>
      <w:r>
        <w:t>Make token efficiency and user training deliverables with acceptance criteria, not a hope.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